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D68" w:rsidRDefault="00B66A30" w:rsidP="00ED11CA">
      <w:pPr>
        <w:spacing w:line="276" w:lineRule="auto"/>
        <w:ind w:left="-180" w:right="-360"/>
        <w:jc w:val="center"/>
        <w:rPr>
          <w:b/>
        </w:rPr>
      </w:pPr>
      <w:r>
        <w:rPr>
          <w:b/>
        </w:rPr>
        <w:t>Document de poziție al</w:t>
      </w:r>
    </w:p>
    <w:p w:rsidR="00DA4D68" w:rsidRDefault="00B66A30" w:rsidP="00ED11CA">
      <w:pPr>
        <w:spacing w:line="276" w:lineRule="auto"/>
        <w:ind w:left="-180" w:right="-360"/>
        <w:jc w:val="center"/>
        <w:rPr>
          <w:b/>
        </w:rPr>
      </w:pPr>
      <w:r>
        <w:rPr>
          <w:b/>
        </w:rPr>
        <w:t xml:space="preserve">Federației ONG-urilor Sociale din Transilvania </w:t>
      </w:r>
    </w:p>
    <w:p w:rsidR="00DA4D68" w:rsidRDefault="00B66A30" w:rsidP="00ED11CA">
      <w:pPr>
        <w:spacing w:line="276" w:lineRule="auto"/>
        <w:ind w:left="-180" w:right="-360"/>
        <w:jc w:val="center"/>
        <w:rPr>
          <w:b/>
        </w:rPr>
      </w:pPr>
      <w:r>
        <w:rPr>
          <w:b/>
        </w:rPr>
        <w:t>cu privire la necesitatea adoptării uno</w:t>
      </w:r>
      <w:r w:rsidR="00463E89">
        <w:rPr>
          <w:b/>
        </w:rPr>
        <w:t>r reglementări speciale privind</w:t>
      </w:r>
      <w:r>
        <w:rPr>
          <w:b/>
        </w:rPr>
        <w:t xml:space="preserve"> </w:t>
      </w:r>
    </w:p>
    <w:p w:rsidR="00DA4D68" w:rsidRDefault="00B66A30" w:rsidP="00ED11CA">
      <w:pPr>
        <w:spacing w:line="276" w:lineRule="auto"/>
        <w:ind w:left="-180" w:right="-360"/>
        <w:jc w:val="center"/>
        <w:rPr>
          <w:b/>
        </w:rPr>
      </w:pPr>
      <w:r>
        <w:rPr>
          <w:b/>
        </w:rPr>
        <w:t>c</w:t>
      </w:r>
      <w:r w:rsidR="00463E89">
        <w:rPr>
          <w:b/>
        </w:rPr>
        <w:t>ontractarea serviciilor sociale</w:t>
      </w:r>
    </w:p>
    <w:p w:rsidR="00DA4D68" w:rsidRDefault="00DA4D68" w:rsidP="00ED11CA">
      <w:pPr>
        <w:spacing w:line="276" w:lineRule="auto"/>
        <w:ind w:left="-180" w:right="-360"/>
        <w:jc w:val="center"/>
        <w:rPr>
          <w:b/>
        </w:rPr>
      </w:pPr>
    </w:p>
    <w:p w:rsidR="00163D3A" w:rsidRDefault="00163D3A" w:rsidP="00163D3A">
      <w:pPr>
        <w:pBdr>
          <w:top w:val="none" w:sz="0" w:space="0" w:color="auto"/>
          <w:left w:val="none" w:sz="0" w:space="0" w:color="auto"/>
          <w:bottom w:val="none" w:sz="0" w:space="0" w:color="auto"/>
          <w:right w:val="none" w:sz="0" w:space="0" w:color="auto"/>
        </w:pBdr>
        <w:spacing w:line="276" w:lineRule="auto"/>
        <w:ind w:left="-180" w:right="-360"/>
        <w:jc w:val="both"/>
      </w:pPr>
      <w:r>
        <w:t>Federația ONG-urilor Sociale din Transilvania a organizat conferința anuală având ca temă actuală și de interes pentru toți participanții "Contractarea serviciilor sociale furnizate de ONG-uri – între transparență, competitivitate și realitate"¸ în noiembrie 2017 în Municipiul Sfântu Gheorghe, județul Covasna,</w:t>
      </w:r>
      <w:r w:rsidR="0030242B">
        <w:t xml:space="preserve"> </w:t>
      </w:r>
      <w:r>
        <w:t xml:space="preserve">la care au participat aproximativ 100 de persoane din județele Covasna, Brașov, Sibiu, Bihor, Alba, Mureș, Cluj, Arad, Argeș, Bacău, București,Timișoara și Neamț, reprezentând organizații neguvernamentale și autorități publice (Consilii județene, Primăria municipiului Sfântu Gheorghe, Direcții Generale de Asistență Socială și Protecția Copilului, Direcții de Servicii Sociale, AJPIS-uri). </w:t>
      </w:r>
    </w:p>
    <w:p w:rsidR="00163D3A" w:rsidRDefault="00163D3A" w:rsidP="00163D3A">
      <w:pPr>
        <w:spacing w:line="276" w:lineRule="auto"/>
        <w:ind w:left="-180" w:right="-360"/>
        <w:jc w:val="both"/>
      </w:pPr>
      <w:r>
        <w:t>Ministerul Consultării Publice și a Dialogului Social a participat la întâlnire exprimându-și disponibilitatea de a cunoaște eventualele propuneri și sugestii pe care organizațiile neguvernamentale le au în privința activității lor, precum și în relația cu administrația publică.</w:t>
      </w:r>
      <w:r w:rsidR="00B66A30">
        <w:t xml:space="preserve">  </w:t>
      </w:r>
      <w:r>
        <w:t>Ca urmare a dezbaterilor si a consultării între participantii la conferință, Federația ONG-urilor Sociale din Transilvania, a elaborat prezentul document de pozițe, prin care:</w:t>
      </w:r>
    </w:p>
    <w:p w:rsidR="00163D3A" w:rsidRDefault="00163D3A" w:rsidP="00163D3A">
      <w:pPr>
        <w:spacing w:line="276" w:lineRule="auto"/>
        <w:ind w:left="-180" w:right="-360"/>
        <w:jc w:val="both"/>
      </w:pPr>
    </w:p>
    <w:p w:rsidR="00163D3A" w:rsidRPr="00163D3A" w:rsidRDefault="00163D3A" w:rsidP="00163D3A">
      <w:pPr>
        <w:spacing w:line="276" w:lineRule="auto"/>
        <w:ind w:left="-180" w:right="-360"/>
        <w:jc w:val="both"/>
        <w:rPr>
          <w:b/>
        </w:rPr>
      </w:pPr>
      <w:r w:rsidRPr="00163D3A">
        <w:rPr>
          <w:b/>
        </w:rPr>
        <w:t xml:space="preserve">Considerăm că este necesară o îmbunătățire a legislației specifică contractării serviciilor sociale, a unei metodologii de lucru, atât de necesară în contextul achizițiilor de servicii sociale, care să ia în considerare probleme identificate de autoritățile locale și ONG, precum: </w:t>
      </w:r>
    </w:p>
    <w:p w:rsidR="00163D3A" w:rsidRPr="00163D3A" w:rsidRDefault="00163D3A" w:rsidP="00163D3A">
      <w:pPr>
        <w:pStyle w:val="Listaszerbekezds"/>
        <w:numPr>
          <w:ilvl w:val="0"/>
          <w:numId w:val="5"/>
        </w:numPr>
        <w:spacing w:line="276" w:lineRule="auto"/>
        <w:ind w:right="-360"/>
        <w:jc w:val="both"/>
        <w:rPr>
          <w:b/>
        </w:rPr>
      </w:pPr>
      <w:r w:rsidRPr="00163D3A">
        <w:rPr>
          <w:b/>
        </w:rPr>
        <w:t>actualizarea standardelor minime de cost pentru serviciile sociale, asigurarea continuității serviciilor sociale pe termen lung;</w:t>
      </w:r>
    </w:p>
    <w:p w:rsidR="00163D3A" w:rsidRPr="00163D3A" w:rsidRDefault="00163D3A" w:rsidP="00163D3A">
      <w:pPr>
        <w:pStyle w:val="Listaszerbekezds"/>
        <w:numPr>
          <w:ilvl w:val="0"/>
          <w:numId w:val="5"/>
        </w:numPr>
        <w:spacing w:line="276" w:lineRule="auto"/>
        <w:ind w:right="-360"/>
        <w:jc w:val="both"/>
        <w:rPr>
          <w:b/>
        </w:rPr>
      </w:pPr>
      <w:r w:rsidRPr="00163D3A">
        <w:rPr>
          <w:b/>
        </w:rPr>
        <w:t>actualizarea standardelor minime de funcționare a serviciilor sociale potrivit realității din teren;</w:t>
      </w:r>
    </w:p>
    <w:p w:rsidR="00163D3A" w:rsidRPr="00163D3A" w:rsidRDefault="00163D3A" w:rsidP="00163D3A">
      <w:pPr>
        <w:pStyle w:val="Listaszerbekezds"/>
        <w:numPr>
          <w:ilvl w:val="0"/>
          <w:numId w:val="5"/>
        </w:numPr>
        <w:spacing w:line="276" w:lineRule="auto"/>
        <w:ind w:right="-360"/>
        <w:jc w:val="both"/>
        <w:rPr>
          <w:b/>
        </w:rPr>
      </w:pPr>
      <w:r w:rsidRPr="00163D3A">
        <w:rPr>
          <w:b/>
        </w:rPr>
        <w:t>reorganizarea sistemului național de finanțare a serviciilor sociale și o mai bună finanțare a acestuia;</w:t>
      </w:r>
    </w:p>
    <w:p w:rsidR="00163D3A" w:rsidRPr="00163D3A" w:rsidRDefault="00163D3A" w:rsidP="00163D3A">
      <w:pPr>
        <w:pStyle w:val="Listaszerbekezds"/>
        <w:numPr>
          <w:ilvl w:val="0"/>
          <w:numId w:val="5"/>
        </w:numPr>
        <w:spacing w:line="276" w:lineRule="auto"/>
        <w:ind w:right="-360"/>
        <w:jc w:val="both"/>
        <w:rPr>
          <w:b/>
        </w:rPr>
      </w:pPr>
      <w:r w:rsidRPr="00163D3A">
        <w:rPr>
          <w:b/>
        </w:rPr>
        <w:t>neconcordanță între sistemul public de asistență socială și cel privat;</w:t>
      </w:r>
    </w:p>
    <w:p w:rsidR="00163D3A" w:rsidRPr="00163D3A" w:rsidRDefault="00163D3A" w:rsidP="00163D3A">
      <w:pPr>
        <w:pStyle w:val="Listaszerbekezds"/>
        <w:numPr>
          <w:ilvl w:val="0"/>
          <w:numId w:val="5"/>
        </w:numPr>
        <w:spacing w:line="276" w:lineRule="auto"/>
        <w:ind w:right="-360"/>
        <w:jc w:val="both"/>
        <w:rPr>
          <w:b/>
        </w:rPr>
      </w:pPr>
      <w:r w:rsidRPr="00163D3A">
        <w:rPr>
          <w:b/>
        </w:rPr>
        <w:t>elaborarea de instrucțiuni de întocmire a caietelor de sarcini pentru servicii sociale, care să simplifice, întărească şi uniformizeze practicile în domeniu;</w:t>
      </w:r>
    </w:p>
    <w:p w:rsidR="00163D3A" w:rsidRPr="00163D3A" w:rsidRDefault="00163D3A" w:rsidP="00163D3A">
      <w:pPr>
        <w:pStyle w:val="Listaszerbekezds"/>
        <w:numPr>
          <w:ilvl w:val="0"/>
          <w:numId w:val="5"/>
        </w:numPr>
        <w:spacing w:line="276" w:lineRule="auto"/>
        <w:ind w:right="-360"/>
        <w:jc w:val="both"/>
        <w:rPr>
          <w:b/>
        </w:rPr>
      </w:pPr>
      <w:r w:rsidRPr="00163D3A">
        <w:rPr>
          <w:b/>
        </w:rPr>
        <w:t xml:space="preserve">implicarea beneficiarilor serviciilor sociale în procesul de identificare și evaluare a nevoii de servicii sociale, precum și în procesul contractării serviciilor sociale. </w:t>
      </w:r>
    </w:p>
    <w:p w:rsidR="00163D3A" w:rsidRPr="00163D3A" w:rsidRDefault="00163D3A" w:rsidP="00163D3A">
      <w:pPr>
        <w:spacing w:line="276" w:lineRule="auto"/>
        <w:ind w:left="-180" w:right="-360"/>
        <w:jc w:val="both"/>
        <w:rPr>
          <w:b/>
        </w:rPr>
      </w:pPr>
    </w:p>
    <w:p w:rsidR="00163D3A" w:rsidRPr="00163D3A" w:rsidRDefault="00163D3A" w:rsidP="00163D3A">
      <w:pPr>
        <w:spacing w:line="276" w:lineRule="auto"/>
        <w:ind w:left="-180" w:right="-360"/>
        <w:jc w:val="both"/>
        <w:rPr>
          <w:b/>
        </w:rPr>
      </w:pPr>
      <w:r w:rsidRPr="00163D3A">
        <w:rPr>
          <w:b/>
        </w:rPr>
        <w:t>În concluzie, este nevoie de o legislație secundară, atât la Legea nr. 292/2011, cât și la legislația în domeniul achizițiilor care să reglementeze într</w:t>
      </w:r>
      <w:r w:rsidRPr="00163D3A">
        <w:rPr>
          <w:rFonts w:ascii="Cambria" w:eastAsia="Cambria" w:hAnsi="Cambria" w:cs="Cambria"/>
          <w:b/>
        </w:rPr>
        <w:t>‐</w:t>
      </w:r>
      <w:r w:rsidRPr="00163D3A">
        <w:rPr>
          <w:b/>
        </w:rPr>
        <w:t>un mod unitar, coerent, simplu, clar și ușor aplicabil procesul contractării serviciilor sociale prin procedura de achiziționare/concesionare.</w:t>
      </w:r>
    </w:p>
    <w:p w:rsidR="00163D3A" w:rsidRDefault="00163D3A" w:rsidP="00ED11CA">
      <w:pPr>
        <w:spacing w:line="276" w:lineRule="auto"/>
        <w:ind w:left="-180" w:right="-360"/>
        <w:jc w:val="both"/>
      </w:pPr>
    </w:p>
    <w:p w:rsidR="00936F60" w:rsidRDefault="005D63BE" w:rsidP="00163D3A">
      <w:pPr>
        <w:spacing w:line="276" w:lineRule="auto"/>
        <w:ind w:left="-180" w:right="-360"/>
        <w:jc w:val="both"/>
      </w:pPr>
      <w:r>
        <w:t>În cadrul conferinței d</w:t>
      </w:r>
      <w:r w:rsidR="00B66A30">
        <w:t xml:space="preserve">ezbaterile asupra subiectului au fost intense, ca urmare a prezentărilor nu doar a rezultatelor, ci în special a vulnerabilităților datorate mecanismelor de finanțare, a standardelor minime de cost aflate în vigoare. Intervenția reprezentanților ONG-urilor din mai multe județe au adus în atenție multe </w:t>
      </w:r>
      <w:r w:rsidR="00B66A30" w:rsidRPr="00163D3A">
        <w:t xml:space="preserve">probleme datorate inconsistenței practicii de contractare și a lipsei de unitate, dar au evidențiat și </w:t>
      </w:r>
      <w:r w:rsidR="00B77C9A" w:rsidRPr="00163D3A">
        <w:t>preocuparea ș</w:t>
      </w:r>
      <w:r w:rsidR="00114336" w:rsidRPr="00163D3A">
        <w:t xml:space="preserve">i eforturile constante de a oferi </w:t>
      </w:r>
      <w:r w:rsidR="00B66A30" w:rsidRPr="00163D3A">
        <w:t>servicii sociale de calitate.</w:t>
      </w:r>
    </w:p>
    <w:p w:rsidR="00163D3A" w:rsidRDefault="00163D3A" w:rsidP="00163D3A">
      <w:pPr>
        <w:spacing w:line="276" w:lineRule="auto"/>
        <w:ind w:left="-180" w:right="-360"/>
        <w:jc w:val="both"/>
      </w:pPr>
    </w:p>
    <w:p w:rsidR="000A1B8D" w:rsidRDefault="000A1B8D" w:rsidP="000A1B8D">
      <w:pPr>
        <w:spacing w:line="276" w:lineRule="auto"/>
        <w:ind w:left="-180" w:right="-360"/>
        <w:jc w:val="both"/>
      </w:pPr>
      <w:bookmarkStart w:id="0" w:name="_gjdgxs" w:colFirst="0" w:colLast="0"/>
      <w:bookmarkEnd w:id="0"/>
      <w:r>
        <w:t xml:space="preserve">La nivel de discurs public, potrivit </w:t>
      </w:r>
      <w:r>
        <w:rPr>
          <w:i/>
        </w:rPr>
        <w:t>Strategiei naţională privind incluziunea socială şi reducerea sărăciei pentru perioada 2015-2020,</w:t>
      </w:r>
      <w:r w:rsidR="00B77C9A">
        <w:rPr>
          <w:i/>
        </w:rPr>
        <w:t xml:space="preserve"> </w:t>
      </w:r>
      <w:r>
        <w:t xml:space="preserve">„Guvernul îşi propune să ia în considerare furnizarea unui sprijin financiar mai consistent către furnizorii non-publici de servicii, precum şi dezvoltarea de proceduri de contractare mai bune, în vederea furnizării de servicii sociale mai multe și mai bune pentru comunităţi şi pentru un număr semnificativ de persoane vulnerabile sau excluse social. Îmbunătățirea cadrului de finanțare pentru asigurarea sustenabilității finanțării serviciilor sociale – dezvoltarea mecanismelor și procedurilor de finanțare, coordonare și armonizare dintre mecanisme de finanțare în diferite sectoare (sănătate, educație, locuire și ocupare), o creștere a transparenței și o mai bună diseminare a procedurilor de contractare a serviciilor sociale și îmbunătățirea metodologiei de cost și a procedurilor pentru serviciile sociale”.  </w:t>
      </w:r>
    </w:p>
    <w:p w:rsidR="00EA30AF" w:rsidRDefault="000A1B8D" w:rsidP="007E12B2">
      <w:pPr>
        <w:spacing w:line="276" w:lineRule="auto"/>
        <w:ind w:left="-180" w:right="-360"/>
        <w:jc w:val="both"/>
      </w:pPr>
      <w:r>
        <w:t xml:space="preserve">Dar, </w:t>
      </w:r>
      <w:r w:rsidR="00A42CC2">
        <w:t>î</w:t>
      </w:r>
      <w:r>
        <w:t>n realitate, contractarea serviciil</w:t>
      </w:r>
      <w:r w:rsidR="00EA30AF">
        <w:t>or</w:t>
      </w:r>
      <w:r>
        <w:t xml:space="preserve"> sociale este mecanismul de finan</w:t>
      </w:r>
      <w:r w:rsidR="00A42CC2">
        <w:t>ț</w:t>
      </w:r>
      <w:r>
        <w:t>are cel mai pu</w:t>
      </w:r>
      <w:r w:rsidR="00A42CC2">
        <w:t>ț</w:t>
      </w:r>
      <w:r>
        <w:t>in utilizat de c</w:t>
      </w:r>
      <w:r w:rsidR="00A42CC2">
        <w:t>ă</w:t>
      </w:r>
      <w:r>
        <w:t>tre autorit</w:t>
      </w:r>
      <w:r w:rsidR="00A42CC2">
        <w:t>ăț</w:t>
      </w:r>
      <w:r>
        <w:t>ile publice locale</w:t>
      </w:r>
      <w:r w:rsidR="00EA30AF">
        <w:t xml:space="preserve">, acestea sunt puțin stimulate să dezvolte contractarea socială în lipsa unui cadru normativ specific și clar și a unor recomandări ferme, asumate politic, privind contractarea serviciilor sociale. </w:t>
      </w:r>
    </w:p>
    <w:p w:rsidR="00EA30AF" w:rsidRDefault="00EA30AF" w:rsidP="007E12B2">
      <w:pPr>
        <w:spacing w:line="276" w:lineRule="auto"/>
        <w:ind w:left="-180" w:right="-360"/>
        <w:jc w:val="both"/>
      </w:pPr>
    </w:p>
    <w:p w:rsidR="007E12B2" w:rsidRDefault="003E0AE5" w:rsidP="007E12B2">
      <w:pPr>
        <w:spacing w:line="276" w:lineRule="auto"/>
        <w:ind w:left="-180" w:right="-360"/>
        <w:jc w:val="both"/>
      </w:pPr>
      <w:r>
        <w:t>Din dialogurile purtate cu participanți</w:t>
      </w:r>
      <w:r w:rsidR="00394DEF">
        <w:t>i</w:t>
      </w:r>
      <w:r>
        <w:t xml:space="preserve"> la e</w:t>
      </w:r>
      <w:r w:rsidR="000A4F68">
        <w:t>veniment a reie</w:t>
      </w:r>
      <w:r w:rsidR="00A42CC2">
        <w:t>ș</w:t>
      </w:r>
      <w:r w:rsidR="000A4F68">
        <w:t>it c</w:t>
      </w:r>
      <w:r w:rsidR="00A42CC2">
        <w:t>ă</w:t>
      </w:r>
      <w:r w:rsidR="00B77C9A">
        <w:t xml:space="preserve"> </w:t>
      </w:r>
      <w:r w:rsidR="000A4F68">
        <w:t>este necesar</w:t>
      </w:r>
      <w:r w:rsidR="00A42CC2">
        <w:t>ă</w:t>
      </w:r>
      <w:r w:rsidR="000A4F68">
        <w:t xml:space="preserve"> o procedur</w:t>
      </w:r>
      <w:r w:rsidR="00A42CC2">
        <w:t>ă</w:t>
      </w:r>
      <w:r w:rsidR="000A4F68">
        <w:t xml:space="preserve"> unitar</w:t>
      </w:r>
      <w:r w:rsidR="00A42CC2">
        <w:t>ă</w:t>
      </w:r>
      <w:r w:rsidR="00B77C9A">
        <w:t xml:space="preserve"> </w:t>
      </w:r>
      <w:r w:rsidR="00A42CC2">
        <w:t>ș</w:t>
      </w:r>
      <w:r w:rsidR="000A4F68">
        <w:t xml:space="preserve">i o </w:t>
      </w:r>
      <w:r w:rsidR="00A42CC2">
        <w:t>î</w:t>
      </w:r>
      <w:r w:rsidR="000A4F68">
        <w:t>mbun</w:t>
      </w:r>
      <w:r w:rsidR="00A42CC2">
        <w:t>ătăț</w:t>
      </w:r>
      <w:r w:rsidR="000A4F68">
        <w:t xml:space="preserve">ire a cadrului legislativ privind contractarea serviciilor sociale. </w:t>
      </w:r>
      <w:r w:rsidR="004A6C00">
        <w:t>Deoarece</w:t>
      </w:r>
      <w:r w:rsidR="00D62B56">
        <w:t>,</w:t>
      </w:r>
      <w:r w:rsidR="004A6C00">
        <w:t xml:space="preserve"> nu exist</w:t>
      </w:r>
      <w:r w:rsidR="00A42CC2">
        <w:t>ă</w:t>
      </w:r>
      <w:r w:rsidR="004A6C00">
        <w:t xml:space="preserve"> o metodologie standard privind achiziția de servicii sociale sau cel puțin a validării procedurilor interne, </w:t>
      </w:r>
      <w:r w:rsidR="00D62B56">
        <w:t>procesul de contractare este fie blocat, fie prea puțin pus în aplicare de către autoritățile publice</w:t>
      </w:r>
      <w:r w:rsidR="004A6C00">
        <w:t>.</w:t>
      </w:r>
      <w:r w:rsidR="00B77C9A">
        <w:t xml:space="preserve"> </w:t>
      </w:r>
      <w:r w:rsidR="009749AF">
        <w:t xml:space="preserve">Un alt fapt constatat </w:t>
      </w:r>
      <w:r w:rsidR="00A42CC2">
        <w:t>î</w:t>
      </w:r>
      <w:r w:rsidR="009749AF">
        <w:t xml:space="preserve">n urma dezbaterilor este legat de </w:t>
      </w:r>
      <w:r w:rsidR="007E12B2">
        <w:t xml:space="preserve">instituțiile de control </w:t>
      </w:r>
      <w:r w:rsidR="009749AF">
        <w:t>care pot</w:t>
      </w:r>
      <w:r w:rsidR="007E12B2">
        <w:t xml:space="preserve"> interpreta subiectiv şi imprevizibil anumite prevederi din legislația </w:t>
      </w:r>
      <w:r w:rsidR="009749AF">
        <w:t>a</w:t>
      </w:r>
      <w:r w:rsidR="007E12B2">
        <w:t>chiziții</w:t>
      </w:r>
      <w:r w:rsidR="009749AF">
        <w:t>lor publice</w:t>
      </w:r>
      <w:r w:rsidR="007E12B2">
        <w:t>, ceea ce duce la reticențe suplimentare de a demara proceduri de contractare de servicii sociale.</w:t>
      </w:r>
    </w:p>
    <w:p w:rsidR="00A93EC2" w:rsidRDefault="00A93EC2" w:rsidP="008D2F81">
      <w:pPr>
        <w:spacing w:line="276" w:lineRule="auto"/>
        <w:ind w:left="-180" w:right="-360"/>
        <w:jc w:val="both"/>
      </w:pPr>
    </w:p>
    <w:p w:rsidR="000A1B8D" w:rsidRDefault="000A1B8D" w:rsidP="000A1B8D">
      <w:pPr>
        <w:spacing w:line="276" w:lineRule="auto"/>
        <w:ind w:left="-180" w:right="-360"/>
        <w:jc w:val="both"/>
      </w:pPr>
      <w:r>
        <w:t>Cadrul legislativ actual privind contractarea serviciilor sociale, at</w:t>
      </w:r>
      <w:r w:rsidR="00A42CC2">
        <w:t>â</w:t>
      </w:r>
      <w:r>
        <w:t>t cel care privește serviciile sociale, c</w:t>
      </w:r>
      <w:r w:rsidR="00A42CC2">
        <w:t>â</w:t>
      </w:r>
      <w:r>
        <w:t>t și cel care vizează achizițiile publice, are o serie de limite care creează bariere în calea unei utilizări extinse a mecanismului contractării serviciilor sociale.</w:t>
      </w:r>
      <w:r w:rsidR="00B77C9A">
        <w:t xml:space="preserve"> </w:t>
      </w:r>
      <w:r>
        <w:t>Sintetiz</w:t>
      </w:r>
      <w:r w:rsidR="00A42CC2">
        <w:t>â</w:t>
      </w:r>
      <w:r>
        <w:t xml:space="preserve">nd, aceste limite sunt legate de: aplicarea legilor în vigoare cu relevanță pentru contractarea serviciilor sociale, </w:t>
      </w:r>
      <w:r w:rsidR="00EA30AF">
        <w:t xml:space="preserve">sunt necesare </w:t>
      </w:r>
      <w:r>
        <w:t xml:space="preserve">reglementări suplimentare pentru Legea nr. 292/2011 și actele normative conexe, precum și </w:t>
      </w:r>
      <w:r w:rsidR="00EA30AF">
        <w:t>pentru</w:t>
      </w:r>
      <w:r w:rsidR="00A42CC2">
        <w:t xml:space="preserve">Legea 98/2016 </w:t>
      </w:r>
      <w:r>
        <w:rPr>
          <w:rFonts w:ascii="Cambria" w:eastAsia="Cambria" w:hAnsi="Cambria" w:cs="Cambria"/>
        </w:rPr>
        <w:t>‐</w:t>
      </w:r>
      <w:r>
        <w:t xml:space="preserve"> norme metodologice, instrumente de lucru, documente standardizate care să vină în sprijinul autorităților contractante și a ONG</w:t>
      </w:r>
      <w:r w:rsidR="009A51F7">
        <w:t>-lor</w:t>
      </w:r>
      <w:r>
        <w:t xml:space="preserve"> în organizarea și derularea procesului </w:t>
      </w:r>
      <w:r>
        <w:lastRenderedPageBreak/>
        <w:t xml:space="preserve">achizițiilor publice de servicii sociale, standarde de calitate și cost </w:t>
      </w:r>
      <w:r w:rsidR="00EA30AF">
        <w:t xml:space="preserve">actualizate </w:t>
      </w:r>
      <w:r>
        <w:t xml:space="preserve">pentru toate serviciile și conforme cu realitatea din teren. </w:t>
      </w:r>
    </w:p>
    <w:p w:rsidR="00751357" w:rsidRDefault="00751357" w:rsidP="000A1B8D">
      <w:pPr>
        <w:spacing w:line="276" w:lineRule="auto"/>
        <w:ind w:left="-180" w:right="-360"/>
        <w:jc w:val="both"/>
      </w:pPr>
    </w:p>
    <w:p w:rsidR="00163D3A" w:rsidRPr="00163D3A" w:rsidRDefault="00163D3A" w:rsidP="00163D3A">
      <w:pPr>
        <w:ind w:left="-180" w:right="-360"/>
        <w:jc w:val="both"/>
        <w:rPr>
          <w:sz w:val="20"/>
          <w:szCs w:val="20"/>
        </w:rPr>
      </w:pPr>
      <w:r w:rsidRPr="00163D3A">
        <w:rPr>
          <w:sz w:val="20"/>
          <w:szCs w:val="20"/>
        </w:rPr>
        <w:t>Cadrul legal</w:t>
      </w:r>
      <w:r w:rsidR="009B3BD5">
        <w:rPr>
          <w:sz w:val="20"/>
          <w:szCs w:val="20"/>
        </w:rPr>
        <w:t xml:space="preserve"> actual</w:t>
      </w:r>
      <w:r w:rsidRPr="00163D3A">
        <w:rPr>
          <w:sz w:val="20"/>
          <w:szCs w:val="20"/>
        </w:rPr>
        <w:t xml:space="preserve">: </w:t>
      </w:r>
    </w:p>
    <w:p w:rsidR="00163D3A" w:rsidRPr="00163D3A" w:rsidRDefault="00163D3A" w:rsidP="00163D3A">
      <w:pPr>
        <w:pStyle w:val="Listaszerbekezds"/>
        <w:numPr>
          <w:ilvl w:val="0"/>
          <w:numId w:val="6"/>
        </w:numPr>
        <w:ind w:right="-360"/>
        <w:jc w:val="both"/>
        <w:rPr>
          <w:sz w:val="20"/>
          <w:szCs w:val="20"/>
        </w:rPr>
      </w:pPr>
      <w:r w:rsidRPr="00163D3A">
        <w:rPr>
          <w:sz w:val="20"/>
          <w:szCs w:val="20"/>
        </w:rPr>
        <w:t>Legea nr. 292/2011 a asistenței sociale care reglementează contractarea serviciilor sociale către furnizori privaţi;</w:t>
      </w:r>
    </w:p>
    <w:p w:rsidR="00163D3A" w:rsidRPr="00163D3A" w:rsidRDefault="00163D3A" w:rsidP="00163D3A">
      <w:pPr>
        <w:pStyle w:val="Listaszerbekezds"/>
        <w:numPr>
          <w:ilvl w:val="0"/>
          <w:numId w:val="6"/>
        </w:numPr>
        <w:ind w:right="-360"/>
        <w:jc w:val="both"/>
        <w:rPr>
          <w:sz w:val="20"/>
          <w:szCs w:val="20"/>
        </w:rPr>
      </w:pPr>
      <w:r w:rsidRPr="00163D3A">
        <w:rPr>
          <w:sz w:val="20"/>
          <w:szCs w:val="20"/>
        </w:rPr>
        <w:t>Strategia Națională privind Incluziunea Socială și Reducerea Sărăciei 2015</w:t>
      </w:r>
      <w:r w:rsidRPr="00163D3A">
        <w:rPr>
          <w:rFonts w:ascii="Cambria" w:eastAsia="Cambria" w:hAnsi="Cambria" w:cs="Cambria"/>
          <w:sz w:val="20"/>
          <w:szCs w:val="20"/>
        </w:rPr>
        <w:t>‐</w:t>
      </w:r>
      <w:r w:rsidRPr="00163D3A">
        <w:rPr>
          <w:sz w:val="20"/>
          <w:szCs w:val="20"/>
        </w:rPr>
        <w:t>2020, document de politică publică care face recomandări ferme în vederea utilizării contractării serviciilor sociale pentru finanțarea serviciilor sociale;</w:t>
      </w:r>
    </w:p>
    <w:p w:rsidR="00163D3A" w:rsidRPr="00163D3A" w:rsidRDefault="00163D3A" w:rsidP="00163D3A">
      <w:pPr>
        <w:pStyle w:val="Listaszerbekezds"/>
        <w:numPr>
          <w:ilvl w:val="0"/>
          <w:numId w:val="6"/>
        </w:numPr>
        <w:ind w:right="-360"/>
        <w:jc w:val="both"/>
        <w:rPr>
          <w:sz w:val="20"/>
          <w:szCs w:val="20"/>
        </w:rPr>
      </w:pPr>
      <w:r w:rsidRPr="00163D3A">
        <w:rPr>
          <w:sz w:val="20"/>
          <w:szCs w:val="20"/>
        </w:rPr>
        <w:t>HG nr. 904/2014 pentru stabilirea limitelor minime de cheltuieli aferente drepturilor prevăzute de art. 129 alin. (1) din Legea nr. 272/2004 privind protecția și promovarea drepturilor copilului;</w:t>
      </w:r>
    </w:p>
    <w:p w:rsidR="00163D3A" w:rsidRPr="00163D3A" w:rsidRDefault="00163D3A" w:rsidP="00163D3A">
      <w:pPr>
        <w:pStyle w:val="Listaszerbekezds"/>
        <w:numPr>
          <w:ilvl w:val="0"/>
          <w:numId w:val="6"/>
        </w:numPr>
        <w:ind w:right="-360"/>
        <w:jc w:val="both"/>
        <w:rPr>
          <w:sz w:val="20"/>
          <w:szCs w:val="20"/>
        </w:rPr>
      </w:pPr>
      <w:r w:rsidRPr="00163D3A">
        <w:rPr>
          <w:sz w:val="20"/>
          <w:szCs w:val="20"/>
        </w:rPr>
        <w:t>HG 903/2014 privind stabilirea nivelului minim al alocației zilnice de hrană pentru consumurile colective din instituțiile și unitățile publice și private de asistență socială destinate persoanelor adulte, persoanelor adulte cu dizabilități și persoanelor vârstnice;</w:t>
      </w:r>
    </w:p>
    <w:p w:rsidR="00163D3A" w:rsidRPr="00163D3A" w:rsidRDefault="00163D3A" w:rsidP="00163D3A">
      <w:pPr>
        <w:pStyle w:val="Listaszerbekezds"/>
        <w:numPr>
          <w:ilvl w:val="0"/>
          <w:numId w:val="6"/>
        </w:numPr>
        <w:ind w:right="-360"/>
        <w:jc w:val="both"/>
        <w:rPr>
          <w:sz w:val="20"/>
          <w:szCs w:val="20"/>
        </w:rPr>
      </w:pPr>
      <w:r w:rsidRPr="00163D3A">
        <w:rPr>
          <w:sz w:val="20"/>
          <w:szCs w:val="20"/>
        </w:rPr>
        <w:t xml:space="preserve">Legea 98/2016 privind achizițiile publice. </w:t>
      </w:r>
    </w:p>
    <w:p w:rsidR="00DA4D68" w:rsidRDefault="00DA4D68" w:rsidP="00000E38">
      <w:pPr>
        <w:spacing w:line="276" w:lineRule="auto"/>
        <w:ind w:left="-180" w:right="-360"/>
        <w:jc w:val="both"/>
      </w:pPr>
    </w:p>
    <w:p w:rsidR="009B3BD5" w:rsidRDefault="009B3BD5" w:rsidP="00000E38">
      <w:pPr>
        <w:spacing w:line="276" w:lineRule="auto"/>
        <w:ind w:left="-180" w:right="-360"/>
        <w:jc w:val="both"/>
      </w:pPr>
      <w:r>
        <w:t>21.12.2017</w:t>
      </w:r>
    </w:p>
    <w:p w:rsidR="00F21D3E" w:rsidRDefault="00F21D3E" w:rsidP="00000E38">
      <w:pPr>
        <w:spacing w:line="276" w:lineRule="auto"/>
        <w:ind w:left="-180" w:right="-360"/>
        <w:jc w:val="both"/>
      </w:pPr>
    </w:p>
    <w:p w:rsidR="00F21D3E" w:rsidRPr="00CB36A7" w:rsidRDefault="00F21D3E" w:rsidP="00000E38">
      <w:pPr>
        <w:spacing w:line="276" w:lineRule="auto"/>
        <w:ind w:left="-180" w:right="-360"/>
        <w:jc w:val="both"/>
        <w:rPr>
          <w:i/>
        </w:rPr>
      </w:pPr>
      <w:r w:rsidRPr="00CB36A7">
        <w:rPr>
          <w:i/>
        </w:rPr>
        <w:t xml:space="preserve">Dacă sunteți de acord cu cele arătate, </w:t>
      </w:r>
      <w:hyperlink r:id="rId7" w:history="1">
        <w:r w:rsidRPr="00947EC6">
          <w:rPr>
            <w:rStyle w:val="Hiperhivatkozs"/>
            <w:i/>
          </w:rPr>
          <w:t>semnați documentul de poziție aici</w:t>
        </w:r>
      </w:hyperlink>
      <w:r w:rsidRPr="00CB36A7">
        <w:rPr>
          <w:i/>
        </w:rPr>
        <w:t xml:space="preserve">. </w:t>
      </w:r>
    </w:p>
    <w:sectPr w:rsidR="00F21D3E" w:rsidRPr="00CB36A7" w:rsidSect="00127C87">
      <w:headerReference w:type="default" r:id="rId8"/>
      <w:footerReference w:type="default" r:id="rId9"/>
      <w:pgSz w:w="12240" w:h="15840"/>
      <w:pgMar w:top="810" w:right="1440" w:bottom="1170" w:left="1440" w:header="284"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99B" w:rsidRDefault="009C499B" w:rsidP="0066099A">
      <w:r>
        <w:separator/>
      </w:r>
    </w:p>
  </w:endnote>
  <w:endnote w:type="continuationSeparator" w:id="1">
    <w:p w:rsidR="009C499B" w:rsidRDefault="009C499B" w:rsidP="0066099A">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99A" w:rsidRDefault="0066099A" w:rsidP="00127C87">
    <w:pPr>
      <w:pStyle w:val="llb"/>
    </w:pPr>
  </w:p>
  <w:p w:rsidR="00127C87" w:rsidRDefault="00127C87" w:rsidP="00127C87">
    <w:pPr>
      <w:pStyle w:val="llb"/>
      <w:pBdr>
        <w:top w:val="single" w:sz="4" w:space="1" w:color="auto"/>
      </w:pBdr>
      <w:tabs>
        <w:tab w:val="left" w:pos="2220"/>
        <w:tab w:val="right" w:pos="9293"/>
      </w:tabs>
    </w:pPr>
    <w:r>
      <w:tab/>
    </w:r>
    <w:r>
      <w:tab/>
    </w:r>
    <w:r>
      <w:tab/>
    </w:r>
    <w:r>
      <w:tab/>
    </w:r>
    <w:fldSimple w:instr=" PAGE   \* MERGEFORMAT ">
      <w:r w:rsidR="00947EC6">
        <w:rPr>
          <w:noProof/>
        </w:rPr>
        <w:t>3</w:t>
      </w:r>
    </w:fldSimple>
  </w:p>
  <w:p w:rsidR="00127C87" w:rsidRPr="00055D29" w:rsidRDefault="00127C87" w:rsidP="00127C87">
    <w:pPr>
      <w:pStyle w:val="llb"/>
      <w:jc w:val="center"/>
      <w:rPr>
        <w:color w:val="0070C0"/>
        <w:sz w:val="16"/>
        <w:szCs w:val="16"/>
      </w:rPr>
    </w:pPr>
    <w:r>
      <w:rPr>
        <w:color w:val="0070C0"/>
        <w:sz w:val="16"/>
        <w:szCs w:val="16"/>
      </w:rPr>
      <w:t xml:space="preserve">Federation of Social NGOs in Transylvania / </w:t>
    </w:r>
    <w:r w:rsidRPr="00055D29">
      <w:rPr>
        <w:color w:val="0070C0"/>
        <w:sz w:val="16"/>
        <w:szCs w:val="16"/>
      </w:rPr>
      <w:t>Verband der sozialen NROs aus Transilvanien / Federația ONG-urilor Sociale din Transilvania</w:t>
    </w:r>
  </w:p>
  <w:p w:rsidR="00127C87" w:rsidRPr="00055D29" w:rsidRDefault="00127C87" w:rsidP="00127C87">
    <w:pPr>
      <w:pStyle w:val="llb"/>
      <w:jc w:val="center"/>
      <w:rPr>
        <w:color w:val="0070C0"/>
        <w:sz w:val="16"/>
        <w:szCs w:val="16"/>
      </w:rPr>
    </w:pPr>
    <w:r w:rsidRPr="00055D29">
      <w:rPr>
        <w:color w:val="0070C0"/>
        <w:sz w:val="16"/>
        <w:szCs w:val="16"/>
      </w:rPr>
      <w:t xml:space="preserve">b-dul 21 decembrie 1989, nr. </w:t>
    </w:r>
    <w:r>
      <w:rPr>
        <w:color w:val="0070C0"/>
        <w:sz w:val="16"/>
        <w:szCs w:val="16"/>
      </w:rPr>
      <w:t>63, ap. 3, Cluj-Napoca, Romania</w:t>
    </w:r>
  </w:p>
  <w:p w:rsidR="00127C87" w:rsidRPr="00A2130D" w:rsidRDefault="00127C87" w:rsidP="00127C87">
    <w:pPr>
      <w:pStyle w:val="llb"/>
      <w:jc w:val="center"/>
      <w:rPr>
        <w:color w:val="0070C0"/>
        <w:sz w:val="16"/>
        <w:szCs w:val="16"/>
        <w:lang w:val="en-US"/>
      </w:rPr>
    </w:pPr>
    <w:r w:rsidRPr="00A2130D">
      <w:rPr>
        <w:color w:val="0070C0"/>
        <w:sz w:val="16"/>
        <w:szCs w:val="16"/>
        <w:lang w:val="en-US"/>
      </w:rPr>
      <w:t xml:space="preserve">W: </w:t>
    </w:r>
    <w:hyperlink r:id="rId1" w:history="1">
      <w:r w:rsidRPr="00A2130D">
        <w:rPr>
          <w:rStyle w:val="Hiperhivatkozs"/>
          <w:color w:val="0070C0"/>
          <w:sz w:val="16"/>
          <w:szCs w:val="16"/>
          <w:lang w:val="en-US"/>
        </w:rPr>
        <w:t>www.socialngonetwork.ro</w:t>
      </w:r>
    </w:hyperlink>
    <w:r w:rsidRPr="00A2130D">
      <w:rPr>
        <w:color w:val="0070C0"/>
        <w:sz w:val="16"/>
        <w:szCs w:val="16"/>
        <w:lang w:val="en-US"/>
      </w:rPr>
      <w:t xml:space="preserve"> / </w:t>
    </w:r>
    <w:hyperlink r:id="rId2" w:history="1">
      <w:r w:rsidRPr="00A2130D">
        <w:rPr>
          <w:rStyle w:val="Hiperhivatkozs"/>
          <w:color w:val="0070C0"/>
          <w:sz w:val="16"/>
          <w:szCs w:val="16"/>
          <w:lang w:val="en-US"/>
        </w:rPr>
        <w:t>www.socialngonetwork.eu</w:t>
      </w:r>
    </w:hyperlink>
  </w:p>
  <w:p w:rsidR="00127C87" w:rsidRPr="00055D29" w:rsidRDefault="00127C87" w:rsidP="00127C87">
    <w:pPr>
      <w:pStyle w:val="llb"/>
      <w:jc w:val="center"/>
      <w:rPr>
        <w:color w:val="0070C0"/>
        <w:sz w:val="16"/>
        <w:szCs w:val="16"/>
        <w:lang w:val="hu-HU"/>
      </w:rPr>
    </w:pPr>
    <w:r w:rsidRPr="00055D29">
      <w:rPr>
        <w:color w:val="0070C0"/>
        <w:sz w:val="16"/>
        <w:szCs w:val="16"/>
        <w:lang w:val="de-DE"/>
      </w:rPr>
      <w:t xml:space="preserve">E: </w:t>
    </w:r>
    <w:hyperlink r:id="rId3" w:history="1">
      <w:r w:rsidRPr="00055D29">
        <w:rPr>
          <w:rStyle w:val="Hiperhivatkozs"/>
          <w:color w:val="0070C0"/>
          <w:sz w:val="16"/>
          <w:szCs w:val="16"/>
          <w:lang w:val="de-DE"/>
        </w:rPr>
        <w:t>office</w:t>
      </w:r>
      <w:r w:rsidRPr="00055D29">
        <w:rPr>
          <w:rStyle w:val="Hiperhivatkozs"/>
          <w:color w:val="0070C0"/>
          <w:sz w:val="16"/>
          <w:szCs w:val="16"/>
          <w:lang w:val="hu-HU"/>
        </w:rPr>
        <w:t>@socialngonetwork.ro</w:t>
      </w:r>
    </w:hyperlink>
  </w:p>
  <w:p w:rsidR="0066099A" w:rsidRDefault="00127C87" w:rsidP="00127C87">
    <w:pPr>
      <w:pStyle w:val="llb"/>
      <w:jc w:val="center"/>
    </w:pPr>
    <w:r w:rsidRPr="00055D29">
      <w:rPr>
        <w:color w:val="0070C0"/>
        <w:sz w:val="16"/>
        <w:szCs w:val="16"/>
        <w:lang w:val="hu-HU"/>
      </w:rPr>
      <w:t>T: +40740908859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99B" w:rsidRDefault="009C499B" w:rsidP="0066099A">
      <w:r>
        <w:separator/>
      </w:r>
    </w:p>
  </w:footnote>
  <w:footnote w:type="continuationSeparator" w:id="1">
    <w:p w:rsidR="009C499B" w:rsidRDefault="009C499B" w:rsidP="006609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89" w:type="dxa"/>
      <w:tblBorders>
        <w:bottom w:val="single" w:sz="4" w:space="0" w:color="auto"/>
      </w:tblBorders>
      <w:tblLayout w:type="fixed"/>
      <w:tblLook w:val="04A0"/>
    </w:tblPr>
    <w:tblGrid>
      <w:gridCol w:w="3936"/>
      <w:gridCol w:w="5953"/>
    </w:tblGrid>
    <w:tr w:rsidR="00127C87" w:rsidRPr="00A813A8" w:rsidTr="00127C87">
      <w:tc>
        <w:tcPr>
          <w:tcW w:w="3936" w:type="dxa"/>
        </w:tcPr>
        <w:p w:rsidR="00127C87" w:rsidRPr="00A813A8" w:rsidRDefault="00127C87" w:rsidP="00AF7829">
          <w:pPr>
            <w:pStyle w:val="Cmsor3"/>
            <w:shd w:val="clear" w:color="auto" w:fill="FFFFFF"/>
            <w:spacing w:before="0" w:after="0"/>
            <w:rPr>
              <w:rFonts w:ascii="Calibri" w:hAnsi="Calibri"/>
              <w:b w:val="0"/>
              <w:sz w:val="16"/>
              <w:szCs w:val="16"/>
            </w:rPr>
          </w:pPr>
          <w:r>
            <w:rPr>
              <w:rFonts w:ascii="Calibri" w:hAnsi="Calibri"/>
              <w:b w:val="0"/>
              <w:noProof/>
              <w:sz w:val="16"/>
              <w:szCs w:val="16"/>
              <w:lang w:eastAsia="ro-RO"/>
            </w:rPr>
            <w:drawing>
              <wp:inline distT="0" distB="0" distL="0" distR="0">
                <wp:extent cx="2219325" cy="771525"/>
                <wp:effectExtent l="19050" t="0" r="9525" b="0"/>
                <wp:docPr id="1" name="Kép 1" descr="Logo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O"/>
                        <pic:cNvPicPr>
                          <a:picLocks noChangeAspect="1" noChangeArrowheads="1"/>
                        </pic:cNvPicPr>
                      </pic:nvPicPr>
                      <pic:blipFill>
                        <a:blip r:embed="rId1"/>
                        <a:srcRect/>
                        <a:stretch>
                          <a:fillRect/>
                        </a:stretch>
                      </pic:blipFill>
                      <pic:spPr bwMode="auto">
                        <a:xfrm>
                          <a:off x="0" y="0"/>
                          <a:ext cx="2219325" cy="771525"/>
                        </a:xfrm>
                        <a:prstGeom prst="rect">
                          <a:avLst/>
                        </a:prstGeom>
                        <a:noFill/>
                        <a:ln w="9525">
                          <a:noFill/>
                          <a:miter lim="800000"/>
                          <a:headEnd/>
                          <a:tailEnd/>
                        </a:ln>
                      </pic:spPr>
                    </pic:pic>
                  </a:graphicData>
                </a:graphic>
              </wp:inline>
            </w:drawing>
          </w:r>
        </w:p>
      </w:tc>
      <w:tc>
        <w:tcPr>
          <w:tcW w:w="5953" w:type="dxa"/>
        </w:tcPr>
        <w:p w:rsidR="00127C87" w:rsidRPr="00A813A8" w:rsidRDefault="00127C87" w:rsidP="00AF7829">
          <w:pPr>
            <w:pStyle w:val="Cmsor3"/>
            <w:shd w:val="clear" w:color="auto" w:fill="FFFFFF"/>
            <w:spacing w:before="0" w:after="0"/>
            <w:rPr>
              <w:rFonts w:ascii="Calibri" w:hAnsi="Calibri" w:cs="Arial"/>
              <w:b w:val="0"/>
              <w:i/>
              <w:color w:val="0070C0"/>
              <w:sz w:val="16"/>
              <w:szCs w:val="16"/>
            </w:rPr>
          </w:pPr>
          <w:r w:rsidRPr="00A813A8">
            <w:rPr>
              <w:rFonts w:ascii="Calibri" w:hAnsi="Calibri" w:cs="Arial"/>
              <w:b w:val="0"/>
              <w:i/>
              <w:color w:val="0070C0"/>
              <w:sz w:val="16"/>
              <w:szCs w:val="16"/>
            </w:rPr>
            <w:t xml:space="preserve">Member of the </w:t>
          </w:r>
        </w:p>
        <w:p w:rsidR="00127C87" w:rsidRPr="00A813A8" w:rsidRDefault="00127C87" w:rsidP="00AF7829">
          <w:pPr>
            <w:pStyle w:val="Cmsor3"/>
            <w:shd w:val="clear" w:color="auto" w:fill="FFFFFF"/>
            <w:spacing w:before="0" w:after="0"/>
            <w:rPr>
              <w:rFonts w:ascii="Calibri" w:hAnsi="Calibri"/>
              <w:b w:val="0"/>
              <w:sz w:val="16"/>
              <w:szCs w:val="16"/>
            </w:rPr>
          </w:pPr>
          <w:r>
            <w:rPr>
              <w:rFonts w:ascii="Calibri" w:hAnsi="Calibri"/>
              <w:b w:val="0"/>
              <w:noProof/>
              <w:sz w:val="16"/>
              <w:szCs w:val="16"/>
              <w:lang w:eastAsia="ro-RO"/>
            </w:rPr>
            <w:drawing>
              <wp:inline distT="0" distB="0" distL="0" distR="0">
                <wp:extent cx="819150" cy="447675"/>
                <wp:effectExtent l="19050" t="0" r="0" b="0"/>
                <wp:docPr id="2" name="Kép 2" descr="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5"/>
                        <pic:cNvPicPr>
                          <a:picLocks noChangeAspect="1" noChangeArrowheads="1"/>
                        </pic:cNvPicPr>
                      </pic:nvPicPr>
                      <pic:blipFill>
                        <a:blip r:embed="rId2"/>
                        <a:srcRect/>
                        <a:stretch>
                          <a:fillRect/>
                        </a:stretch>
                      </pic:blipFill>
                      <pic:spPr bwMode="auto">
                        <a:xfrm>
                          <a:off x="0" y="0"/>
                          <a:ext cx="819150" cy="447675"/>
                        </a:xfrm>
                        <a:prstGeom prst="rect">
                          <a:avLst/>
                        </a:prstGeom>
                        <a:noFill/>
                        <a:ln w="9525">
                          <a:noFill/>
                          <a:miter lim="800000"/>
                          <a:headEnd/>
                          <a:tailEnd/>
                        </a:ln>
                      </pic:spPr>
                    </pic:pic>
                  </a:graphicData>
                </a:graphic>
              </wp:inline>
            </w:drawing>
          </w:r>
          <w:r>
            <w:rPr>
              <w:rFonts w:ascii="Calibri" w:hAnsi="Calibri" w:cs="Arial"/>
              <w:b w:val="0"/>
              <w:i/>
              <w:noProof/>
              <w:color w:val="0070C0"/>
              <w:sz w:val="16"/>
              <w:szCs w:val="16"/>
              <w:lang w:eastAsia="ro-RO"/>
            </w:rPr>
            <w:drawing>
              <wp:inline distT="0" distB="0" distL="0" distR="0">
                <wp:extent cx="1009650" cy="447675"/>
                <wp:effectExtent l="19050" t="0" r="0" b="0"/>
                <wp:docPr id="3" name="Kép 3" descr="START - 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T - logo_small"/>
                        <pic:cNvPicPr>
                          <a:picLocks noChangeAspect="1" noChangeArrowheads="1"/>
                        </pic:cNvPicPr>
                      </pic:nvPicPr>
                      <pic:blipFill>
                        <a:blip r:embed="rId3"/>
                        <a:srcRect/>
                        <a:stretch>
                          <a:fillRect/>
                        </a:stretch>
                      </pic:blipFill>
                      <pic:spPr bwMode="auto">
                        <a:xfrm>
                          <a:off x="0" y="0"/>
                          <a:ext cx="1009650" cy="447675"/>
                        </a:xfrm>
                        <a:prstGeom prst="rect">
                          <a:avLst/>
                        </a:prstGeom>
                        <a:noFill/>
                        <a:ln w="9525">
                          <a:noFill/>
                          <a:miter lim="800000"/>
                          <a:headEnd/>
                          <a:tailEnd/>
                        </a:ln>
                      </pic:spPr>
                    </pic:pic>
                  </a:graphicData>
                </a:graphic>
              </wp:inline>
            </w:drawing>
          </w:r>
          <w:r>
            <w:rPr>
              <w:rFonts w:ascii="Calibri" w:hAnsi="Calibri" w:cs="Arial"/>
              <w:b w:val="0"/>
              <w:i/>
              <w:noProof/>
              <w:color w:val="0070C0"/>
              <w:sz w:val="16"/>
              <w:szCs w:val="16"/>
              <w:lang w:eastAsia="ro-RO"/>
            </w:rPr>
            <w:drawing>
              <wp:inline distT="0" distB="0" distL="0" distR="0">
                <wp:extent cx="552450" cy="409575"/>
                <wp:effectExtent l="19050" t="0" r="0" b="0"/>
                <wp:docPr id="4" name="Kép 4" descr="logo_s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ssf"/>
                        <pic:cNvPicPr>
                          <a:picLocks noChangeAspect="1" noChangeArrowheads="1"/>
                        </pic:cNvPicPr>
                      </pic:nvPicPr>
                      <pic:blipFill>
                        <a:blip r:embed="rId4"/>
                        <a:srcRect/>
                        <a:stretch>
                          <a:fillRect/>
                        </a:stretch>
                      </pic:blipFill>
                      <pic:spPr bwMode="auto">
                        <a:xfrm>
                          <a:off x="0" y="0"/>
                          <a:ext cx="552450" cy="409575"/>
                        </a:xfrm>
                        <a:prstGeom prst="rect">
                          <a:avLst/>
                        </a:prstGeom>
                        <a:noFill/>
                        <a:ln w="9525">
                          <a:noFill/>
                          <a:miter lim="800000"/>
                          <a:headEnd/>
                          <a:tailEnd/>
                        </a:ln>
                      </pic:spPr>
                    </pic:pic>
                  </a:graphicData>
                </a:graphic>
              </wp:inline>
            </w:drawing>
          </w:r>
          <w:r>
            <w:rPr>
              <w:rFonts w:ascii="Calibri" w:hAnsi="Calibri" w:cs="Arial"/>
              <w:b w:val="0"/>
              <w:i/>
              <w:noProof/>
              <w:color w:val="0070C0"/>
              <w:sz w:val="16"/>
              <w:szCs w:val="16"/>
              <w:lang w:eastAsia="ro-RO"/>
            </w:rPr>
            <w:drawing>
              <wp:inline distT="0" distB="0" distL="0" distR="0">
                <wp:extent cx="695325" cy="409575"/>
                <wp:effectExtent l="19050" t="0" r="9525" b="0"/>
                <wp:docPr id="5" name="Kép 5" descr="DS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F logo"/>
                        <pic:cNvPicPr>
                          <a:picLocks noChangeAspect="1" noChangeArrowheads="1"/>
                        </pic:cNvPicPr>
                      </pic:nvPicPr>
                      <pic:blipFill>
                        <a:blip r:embed="rId5"/>
                        <a:srcRect/>
                        <a:stretch>
                          <a:fillRect/>
                        </a:stretch>
                      </pic:blipFill>
                      <pic:spPr bwMode="auto">
                        <a:xfrm>
                          <a:off x="0" y="0"/>
                          <a:ext cx="695325" cy="409575"/>
                        </a:xfrm>
                        <a:prstGeom prst="rect">
                          <a:avLst/>
                        </a:prstGeom>
                        <a:noFill/>
                        <a:ln w="9525">
                          <a:noFill/>
                          <a:miter lim="800000"/>
                          <a:headEnd/>
                          <a:tailEnd/>
                        </a:ln>
                      </pic:spPr>
                    </pic:pic>
                  </a:graphicData>
                </a:graphic>
              </wp:inline>
            </w:drawing>
          </w:r>
        </w:p>
        <w:p w:rsidR="00127C87" w:rsidRDefault="00127C87" w:rsidP="00AF7829">
          <w:pPr>
            <w:pStyle w:val="Cmsor3"/>
            <w:shd w:val="clear" w:color="auto" w:fill="FFFFFF"/>
            <w:spacing w:before="0" w:after="0"/>
            <w:rPr>
              <w:rFonts w:ascii="Calibri" w:hAnsi="Calibri" w:cs="Arial"/>
              <w:b w:val="0"/>
              <w:i/>
              <w:color w:val="0070C0"/>
              <w:sz w:val="16"/>
              <w:szCs w:val="16"/>
            </w:rPr>
          </w:pPr>
          <w:r w:rsidRPr="00A813A8">
            <w:rPr>
              <w:rFonts w:ascii="Calibri" w:hAnsi="Calibri" w:cs="Arial"/>
              <w:b w:val="0"/>
              <w:i/>
              <w:color w:val="0070C0"/>
              <w:sz w:val="16"/>
              <w:szCs w:val="16"/>
            </w:rPr>
            <w:t xml:space="preserve"> providing social, health and educational services, and advocating social inclusion. </w:t>
          </w:r>
        </w:p>
        <w:p w:rsidR="00127C87" w:rsidRPr="00A813A8" w:rsidRDefault="00127C87" w:rsidP="00127C87">
          <w:pPr>
            <w:pStyle w:val="Cmsor3"/>
            <w:shd w:val="clear" w:color="auto" w:fill="FFFFFF"/>
            <w:spacing w:before="0" w:after="0"/>
            <w:rPr>
              <w:rFonts w:ascii="Calibri" w:hAnsi="Calibri"/>
              <w:b w:val="0"/>
              <w:sz w:val="16"/>
              <w:szCs w:val="16"/>
            </w:rPr>
          </w:pPr>
          <w:r w:rsidRPr="00A813A8">
            <w:rPr>
              <w:rFonts w:ascii="Calibri" w:hAnsi="Calibri" w:cs="Arial"/>
              <w:b w:val="0"/>
              <w:i/>
              <w:color w:val="0070C0"/>
              <w:sz w:val="16"/>
              <w:szCs w:val="16"/>
            </w:rPr>
            <w:t>We build future along the Danube!</w:t>
          </w:r>
        </w:p>
      </w:tc>
    </w:tr>
  </w:tbl>
  <w:p w:rsidR="00127C87" w:rsidRDefault="00127C87">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538A"/>
    <w:multiLevelType w:val="multilevel"/>
    <w:tmpl w:val="1910FA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DE7B42"/>
    <w:multiLevelType w:val="multilevel"/>
    <w:tmpl w:val="A7EE09E2"/>
    <w:lvl w:ilvl="0">
      <w:start w:val="1"/>
      <w:numFmt w:val="bullet"/>
      <w:lvlText w:val="-"/>
      <w:lvlJc w:val="left"/>
      <w:pPr>
        <w:ind w:left="600" w:hanging="360"/>
      </w:pPr>
      <w:rPr>
        <w:rFonts w:ascii="Times New Roman" w:eastAsia="Times New Roman" w:hAnsi="Times New Roman" w:cs="Times New Roman"/>
      </w:rPr>
    </w:lvl>
    <w:lvl w:ilvl="1">
      <w:start w:val="1"/>
      <w:numFmt w:val="bullet"/>
      <w:lvlText w:val="o"/>
      <w:lvlJc w:val="left"/>
      <w:pPr>
        <w:ind w:left="1320" w:hanging="360"/>
      </w:pPr>
      <w:rPr>
        <w:rFonts w:ascii="Courier New" w:eastAsia="Courier New" w:hAnsi="Courier New" w:cs="Courier New"/>
      </w:rPr>
    </w:lvl>
    <w:lvl w:ilvl="2">
      <w:start w:val="1"/>
      <w:numFmt w:val="bullet"/>
      <w:lvlText w:val="▪"/>
      <w:lvlJc w:val="left"/>
      <w:pPr>
        <w:ind w:left="2040" w:hanging="360"/>
      </w:pPr>
      <w:rPr>
        <w:rFonts w:ascii="Noto Sans Symbols" w:eastAsia="Noto Sans Symbols" w:hAnsi="Noto Sans Symbols" w:cs="Noto Sans Symbols"/>
      </w:rPr>
    </w:lvl>
    <w:lvl w:ilvl="3">
      <w:start w:val="1"/>
      <w:numFmt w:val="bullet"/>
      <w:lvlText w:val="●"/>
      <w:lvlJc w:val="left"/>
      <w:pPr>
        <w:ind w:left="2760" w:hanging="360"/>
      </w:pPr>
      <w:rPr>
        <w:rFonts w:ascii="Noto Sans Symbols" w:eastAsia="Noto Sans Symbols" w:hAnsi="Noto Sans Symbols" w:cs="Noto Sans Symbols"/>
      </w:rPr>
    </w:lvl>
    <w:lvl w:ilvl="4">
      <w:start w:val="1"/>
      <w:numFmt w:val="bullet"/>
      <w:lvlText w:val="o"/>
      <w:lvlJc w:val="left"/>
      <w:pPr>
        <w:ind w:left="3480" w:hanging="360"/>
      </w:pPr>
      <w:rPr>
        <w:rFonts w:ascii="Courier New" w:eastAsia="Courier New" w:hAnsi="Courier New" w:cs="Courier New"/>
      </w:rPr>
    </w:lvl>
    <w:lvl w:ilvl="5">
      <w:start w:val="1"/>
      <w:numFmt w:val="bullet"/>
      <w:lvlText w:val="▪"/>
      <w:lvlJc w:val="left"/>
      <w:pPr>
        <w:ind w:left="4200" w:hanging="360"/>
      </w:pPr>
      <w:rPr>
        <w:rFonts w:ascii="Noto Sans Symbols" w:eastAsia="Noto Sans Symbols" w:hAnsi="Noto Sans Symbols" w:cs="Noto Sans Symbols"/>
      </w:rPr>
    </w:lvl>
    <w:lvl w:ilvl="6">
      <w:start w:val="1"/>
      <w:numFmt w:val="bullet"/>
      <w:lvlText w:val="●"/>
      <w:lvlJc w:val="left"/>
      <w:pPr>
        <w:ind w:left="4920" w:hanging="360"/>
      </w:pPr>
      <w:rPr>
        <w:rFonts w:ascii="Noto Sans Symbols" w:eastAsia="Noto Sans Symbols" w:hAnsi="Noto Sans Symbols" w:cs="Noto Sans Symbols"/>
      </w:rPr>
    </w:lvl>
    <w:lvl w:ilvl="7">
      <w:start w:val="1"/>
      <w:numFmt w:val="bullet"/>
      <w:lvlText w:val="o"/>
      <w:lvlJc w:val="left"/>
      <w:pPr>
        <w:ind w:left="5640" w:hanging="360"/>
      </w:pPr>
      <w:rPr>
        <w:rFonts w:ascii="Courier New" w:eastAsia="Courier New" w:hAnsi="Courier New" w:cs="Courier New"/>
      </w:rPr>
    </w:lvl>
    <w:lvl w:ilvl="8">
      <w:start w:val="1"/>
      <w:numFmt w:val="bullet"/>
      <w:lvlText w:val="▪"/>
      <w:lvlJc w:val="left"/>
      <w:pPr>
        <w:ind w:left="6360" w:hanging="360"/>
      </w:pPr>
      <w:rPr>
        <w:rFonts w:ascii="Noto Sans Symbols" w:eastAsia="Noto Sans Symbols" w:hAnsi="Noto Sans Symbols" w:cs="Noto Sans Symbols"/>
      </w:rPr>
    </w:lvl>
  </w:abstractNum>
  <w:abstractNum w:abstractNumId="2">
    <w:nsid w:val="29130115"/>
    <w:multiLevelType w:val="hybridMultilevel"/>
    <w:tmpl w:val="67103550"/>
    <w:lvl w:ilvl="0" w:tplc="04180001">
      <w:start w:val="1"/>
      <w:numFmt w:val="bullet"/>
      <w:lvlText w:val=""/>
      <w:lvlJc w:val="left"/>
      <w:pPr>
        <w:ind w:left="540" w:hanging="360"/>
      </w:pPr>
      <w:rPr>
        <w:rFonts w:ascii="Symbol" w:hAnsi="Symbol"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3">
    <w:nsid w:val="37545361"/>
    <w:multiLevelType w:val="multilevel"/>
    <w:tmpl w:val="02A0328E"/>
    <w:lvl w:ilvl="0">
      <w:start w:val="1"/>
      <w:numFmt w:val="bullet"/>
      <w:lvlText w:val="●"/>
      <w:lvlJc w:val="left"/>
      <w:pPr>
        <w:ind w:left="480" w:hanging="360"/>
      </w:pPr>
      <w:rPr>
        <w:rFonts w:ascii="Noto Sans Symbols" w:eastAsia="Noto Sans Symbols" w:hAnsi="Noto Sans Symbols" w:cs="Noto Sans Symbols"/>
        <w:b/>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11833F9"/>
    <w:multiLevelType w:val="multilevel"/>
    <w:tmpl w:val="196C9E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A6E130E"/>
    <w:multiLevelType w:val="hybridMultilevel"/>
    <w:tmpl w:val="7C007480"/>
    <w:lvl w:ilvl="0" w:tplc="04180001">
      <w:start w:val="1"/>
      <w:numFmt w:val="bullet"/>
      <w:lvlText w:val=""/>
      <w:lvlJc w:val="left"/>
      <w:pPr>
        <w:ind w:left="540" w:hanging="360"/>
      </w:pPr>
      <w:rPr>
        <w:rFonts w:ascii="Symbol" w:hAnsi="Symbol"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DA4D68"/>
    <w:rsid w:val="00000E38"/>
    <w:rsid w:val="0005195E"/>
    <w:rsid w:val="000A1B8D"/>
    <w:rsid w:val="000A36AD"/>
    <w:rsid w:val="000A4F68"/>
    <w:rsid w:val="000D30C4"/>
    <w:rsid w:val="000E5D37"/>
    <w:rsid w:val="00114336"/>
    <w:rsid w:val="00127C87"/>
    <w:rsid w:val="00127E2A"/>
    <w:rsid w:val="00163D3A"/>
    <w:rsid w:val="00165C55"/>
    <w:rsid w:val="001C38E1"/>
    <w:rsid w:val="001F2E64"/>
    <w:rsid w:val="002013FA"/>
    <w:rsid w:val="002105BB"/>
    <w:rsid w:val="00216CF2"/>
    <w:rsid w:val="0025136F"/>
    <w:rsid w:val="002E2A92"/>
    <w:rsid w:val="0030242B"/>
    <w:rsid w:val="00373791"/>
    <w:rsid w:val="00394DEF"/>
    <w:rsid w:val="003E0AE5"/>
    <w:rsid w:val="004311CE"/>
    <w:rsid w:val="00463E89"/>
    <w:rsid w:val="004A6C00"/>
    <w:rsid w:val="004B4C5B"/>
    <w:rsid w:val="00507FDC"/>
    <w:rsid w:val="005D63BE"/>
    <w:rsid w:val="006063B9"/>
    <w:rsid w:val="0066099A"/>
    <w:rsid w:val="00694DF6"/>
    <w:rsid w:val="007415EE"/>
    <w:rsid w:val="00751357"/>
    <w:rsid w:val="00761E30"/>
    <w:rsid w:val="007E12B2"/>
    <w:rsid w:val="007F6CB2"/>
    <w:rsid w:val="00855F27"/>
    <w:rsid w:val="008D2F81"/>
    <w:rsid w:val="008E1B5E"/>
    <w:rsid w:val="00936F60"/>
    <w:rsid w:val="00945B7A"/>
    <w:rsid w:val="00947EC6"/>
    <w:rsid w:val="009749AF"/>
    <w:rsid w:val="00974B34"/>
    <w:rsid w:val="009A51F7"/>
    <w:rsid w:val="009B3BD5"/>
    <w:rsid w:val="009B5C59"/>
    <w:rsid w:val="009C499B"/>
    <w:rsid w:val="009D6987"/>
    <w:rsid w:val="00A23BD3"/>
    <w:rsid w:val="00A42CC2"/>
    <w:rsid w:val="00A73492"/>
    <w:rsid w:val="00A93EC2"/>
    <w:rsid w:val="00A9442C"/>
    <w:rsid w:val="00AC59D6"/>
    <w:rsid w:val="00AD6616"/>
    <w:rsid w:val="00AD7A9F"/>
    <w:rsid w:val="00AF1081"/>
    <w:rsid w:val="00B1714C"/>
    <w:rsid w:val="00B66A30"/>
    <w:rsid w:val="00B77C9A"/>
    <w:rsid w:val="00B9268F"/>
    <w:rsid w:val="00C1187B"/>
    <w:rsid w:val="00C25F17"/>
    <w:rsid w:val="00C9686E"/>
    <w:rsid w:val="00CB36A7"/>
    <w:rsid w:val="00D020F9"/>
    <w:rsid w:val="00D158C2"/>
    <w:rsid w:val="00D30DD8"/>
    <w:rsid w:val="00D311E9"/>
    <w:rsid w:val="00D62B56"/>
    <w:rsid w:val="00D85224"/>
    <w:rsid w:val="00DA4D68"/>
    <w:rsid w:val="00DB3D72"/>
    <w:rsid w:val="00DC7A20"/>
    <w:rsid w:val="00EA30AF"/>
    <w:rsid w:val="00EC41C3"/>
    <w:rsid w:val="00EC54D4"/>
    <w:rsid w:val="00ED11CA"/>
    <w:rsid w:val="00F07504"/>
    <w:rsid w:val="00F2134C"/>
    <w:rsid w:val="00F21D3E"/>
    <w:rsid w:val="00FE123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ro-RO"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A9442C"/>
  </w:style>
  <w:style w:type="paragraph" w:styleId="Cmsor1">
    <w:name w:val="heading 1"/>
    <w:basedOn w:val="Norml"/>
    <w:next w:val="Norml"/>
    <w:rsid w:val="009B5C59"/>
    <w:pPr>
      <w:keepNext/>
      <w:keepLines/>
      <w:spacing w:before="480" w:after="120"/>
      <w:outlineLvl w:val="0"/>
    </w:pPr>
    <w:rPr>
      <w:b/>
      <w:sz w:val="48"/>
      <w:szCs w:val="48"/>
    </w:rPr>
  </w:style>
  <w:style w:type="paragraph" w:styleId="Cmsor2">
    <w:name w:val="heading 2"/>
    <w:basedOn w:val="Norml"/>
    <w:next w:val="Norml"/>
    <w:rsid w:val="009B5C59"/>
    <w:pPr>
      <w:keepNext/>
      <w:keepLines/>
      <w:spacing w:before="360" w:after="80"/>
      <w:outlineLvl w:val="1"/>
    </w:pPr>
    <w:rPr>
      <w:b/>
      <w:sz w:val="36"/>
      <w:szCs w:val="36"/>
    </w:rPr>
  </w:style>
  <w:style w:type="paragraph" w:styleId="Cmsor3">
    <w:name w:val="heading 3"/>
    <w:basedOn w:val="Norml"/>
    <w:next w:val="Norml"/>
    <w:rsid w:val="009B5C59"/>
    <w:pPr>
      <w:keepNext/>
      <w:keepLines/>
      <w:spacing w:before="280" w:after="80"/>
      <w:outlineLvl w:val="2"/>
    </w:pPr>
    <w:rPr>
      <w:b/>
      <w:sz w:val="28"/>
      <w:szCs w:val="28"/>
    </w:rPr>
  </w:style>
  <w:style w:type="paragraph" w:styleId="Cmsor4">
    <w:name w:val="heading 4"/>
    <w:basedOn w:val="Norml"/>
    <w:next w:val="Norml"/>
    <w:rsid w:val="009B5C59"/>
    <w:pPr>
      <w:keepNext/>
      <w:keepLines/>
      <w:spacing w:before="240" w:after="40"/>
      <w:outlineLvl w:val="3"/>
    </w:pPr>
    <w:rPr>
      <w:b/>
    </w:rPr>
  </w:style>
  <w:style w:type="paragraph" w:styleId="Cmsor5">
    <w:name w:val="heading 5"/>
    <w:basedOn w:val="Norml"/>
    <w:next w:val="Norml"/>
    <w:rsid w:val="009B5C59"/>
    <w:pPr>
      <w:keepNext/>
      <w:keepLines/>
      <w:spacing w:before="220" w:after="40"/>
      <w:outlineLvl w:val="4"/>
    </w:pPr>
    <w:rPr>
      <w:b/>
      <w:sz w:val="22"/>
      <w:szCs w:val="22"/>
    </w:rPr>
  </w:style>
  <w:style w:type="paragraph" w:styleId="Cmsor6">
    <w:name w:val="heading 6"/>
    <w:basedOn w:val="Norml"/>
    <w:next w:val="Norml"/>
    <w:rsid w:val="009B5C59"/>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rsid w:val="009B5C59"/>
    <w:pPr>
      <w:keepNext/>
      <w:keepLines/>
      <w:spacing w:before="480" w:after="120"/>
    </w:pPr>
    <w:rPr>
      <w:b/>
      <w:sz w:val="72"/>
      <w:szCs w:val="72"/>
    </w:rPr>
  </w:style>
  <w:style w:type="paragraph" w:styleId="Alcm">
    <w:name w:val="Subtitle"/>
    <w:basedOn w:val="Norml"/>
    <w:next w:val="Norml"/>
    <w:rsid w:val="009B5C59"/>
    <w:pPr>
      <w:keepNext/>
      <w:keepLines/>
      <w:spacing w:before="360" w:after="80"/>
    </w:pPr>
    <w:rPr>
      <w:rFonts w:ascii="Georgia" w:eastAsia="Georgia" w:hAnsi="Georgia" w:cs="Georgia"/>
      <w:i/>
      <w:color w:val="666666"/>
      <w:sz w:val="48"/>
      <w:szCs w:val="48"/>
    </w:rPr>
  </w:style>
  <w:style w:type="paragraph" w:styleId="lfej">
    <w:name w:val="header"/>
    <w:basedOn w:val="Norml"/>
    <w:link w:val="lfejChar"/>
    <w:uiPriority w:val="99"/>
    <w:unhideWhenUsed/>
    <w:rsid w:val="0066099A"/>
    <w:pPr>
      <w:tabs>
        <w:tab w:val="center" w:pos="4680"/>
        <w:tab w:val="right" w:pos="9360"/>
      </w:tabs>
    </w:pPr>
  </w:style>
  <w:style w:type="character" w:customStyle="1" w:styleId="lfejChar">
    <w:name w:val="Élőfej Char"/>
    <w:basedOn w:val="Bekezdsalapbettpusa"/>
    <w:link w:val="lfej"/>
    <w:uiPriority w:val="99"/>
    <w:rsid w:val="0066099A"/>
  </w:style>
  <w:style w:type="paragraph" w:styleId="llb">
    <w:name w:val="footer"/>
    <w:basedOn w:val="Norml"/>
    <w:link w:val="llbChar"/>
    <w:uiPriority w:val="99"/>
    <w:unhideWhenUsed/>
    <w:rsid w:val="0066099A"/>
    <w:pPr>
      <w:tabs>
        <w:tab w:val="center" w:pos="4680"/>
        <w:tab w:val="right" w:pos="9360"/>
      </w:tabs>
    </w:pPr>
  </w:style>
  <w:style w:type="character" w:customStyle="1" w:styleId="llbChar">
    <w:name w:val="Élőláb Char"/>
    <w:basedOn w:val="Bekezdsalapbettpusa"/>
    <w:link w:val="llb"/>
    <w:uiPriority w:val="99"/>
    <w:rsid w:val="0066099A"/>
  </w:style>
  <w:style w:type="character" w:styleId="Jegyzethivatkozs">
    <w:name w:val="annotation reference"/>
    <w:basedOn w:val="Bekezdsalapbettpusa"/>
    <w:uiPriority w:val="99"/>
    <w:semiHidden/>
    <w:unhideWhenUsed/>
    <w:rsid w:val="00AD7A9F"/>
    <w:rPr>
      <w:sz w:val="16"/>
      <w:szCs w:val="16"/>
    </w:rPr>
  </w:style>
  <w:style w:type="paragraph" w:styleId="Jegyzetszveg">
    <w:name w:val="annotation text"/>
    <w:basedOn w:val="Norml"/>
    <w:link w:val="JegyzetszvegChar"/>
    <w:uiPriority w:val="99"/>
    <w:semiHidden/>
    <w:unhideWhenUsed/>
    <w:rsid w:val="00AD7A9F"/>
    <w:rPr>
      <w:sz w:val="20"/>
      <w:szCs w:val="20"/>
    </w:rPr>
  </w:style>
  <w:style w:type="character" w:customStyle="1" w:styleId="JegyzetszvegChar">
    <w:name w:val="Jegyzetszöveg Char"/>
    <w:basedOn w:val="Bekezdsalapbettpusa"/>
    <w:link w:val="Jegyzetszveg"/>
    <w:uiPriority w:val="99"/>
    <w:semiHidden/>
    <w:rsid w:val="00AD7A9F"/>
    <w:rPr>
      <w:sz w:val="20"/>
      <w:szCs w:val="20"/>
    </w:rPr>
  </w:style>
  <w:style w:type="paragraph" w:styleId="Megjegyzstrgya">
    <w:name w:val="annotation subject"/>
    <w:basedOn w:val="Jegyzetszveg"/>
    <w:next w:val="Jegyzetszveg"/>
    <w:link w:val="MegjegyzstrgyaChar"/>
    <w:uiPriority w:val="99"/>
    <w:semiHidden/>
    <w:unhideWhenUsed/>
    <w:rsid w:val="00AD7A9F"/>
    <w:rPr>
      <w:b/>
      <w:bCs/>
    </w:rPr>
  </w:style>
  <w:style w:type="character" w:customStyle="1" w:styleId="MegjegyzstrgyaChar">
    <w:name w:val="Megjegyzés tárgya Char"/>
    <w:basedOn w:val="JegyzetszvegChar"/>
    <w:link w:val="Megjegyzstrgya"/>
    <w:uiPriority w:val="99"/>
    <w:semiHidden/>
    <w:rsid w:val="00AD7A9F"/>
    <w:rPr>
      <w:b/>
      <w:bCs/>
      <w:sz w:val="20"/>
      <w:szCs w:val="20"/>
    </w:rPr>
  </w:style>
  <w:style w:type="paragraph" w:styleId="Buborkszveg">
    <w:name w:val="Balloon Text"/>
    <w:basedOn w:val="Norml"/>
    <w:link w:val="BuborkszvegChar"/>
    <w:uiPriority w:val="99"/>
    <w:semiHidden/>
    <w:unhideWhenUsed/>
    <w:rsid w:val="00AD7A9F"/>
    <w:rPr>
      <w:rFonts w:ascii="Tahoma" w:hAnsi="Tahoma" w:cs="Tahoma"/>
      <w:sz w:val="16"/>
      <w:szCs w:val="16"/>
    </w:rPr>
  </w:style>
  <w:style w:type="character" w:customStyle="1" w:styleId="BuborkszvegChar">
    <w:name w:val="Buborékszöveg Char"/>
    <w:basedOn w:val="Bekezdsalapbettpusa"/>
    <w:link w:val="Buborkszveg"/>
    <w:uiPriority w:val="99"/>
    <w:semiHidden/>
    <w:rsid w:val="00AD7A9F"/>
    <w:rPr>
      <w:rFonts w:ascii="Tahoma" w:hAnsi="Tahoma" w:cs="Tahoma"/>
      <w:sz w:val="16"/>
      <w:szCs w:val="16"/>
    </w:rPr>
  </w:style>
  <w:style w:type="character" w:styleId="Hiperhivatkozs">
    <w:name w:val="Hyperlink"/>
    <w:uiPriority w:val="99"/>
    <w:unhideWhenUsed/>
    <w:rsid w:val="00127C87"/>
    <w:rPr>
      <w:color w:val="0000FF"/>
      <w:u w:val="single"/>
    </w:rPr>
  </w:style>
  <w:style w:type="paragraph" w:styleId="Listaszerbekezds">
    <w:name w:val="List Paragraph"/>
    <w:basedOn w:val="Norml"/>
    <w:uiPriority w:val="34"/>
    <w:qFormat/>
    <w:rsid w:val="00B77C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ro-RO"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442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6099A"/>
    <w:pPr>
      <w:tabs>
        <w:tab w:val="center" w:pos="4680"/>
        <w:tab w:val="right" w:pos="9360"/>
      </w:tabs>
    </w:pPr>
  </w:style>
  <w:style w:type="character" w:customStyle="1" w:styleId="HeaderChar">
    <w:name w:val="Header Char"/>
    <w:basedOn w:val="DefaultParagraphFont"/>
    <w:link w:val="Header"/>
    <w:uiPriority w:val="99"/>
    <w:rsid w:val="0066099A"/>
  </w:style>
  <w:style w:type="paragraph" w:styleId="Footer">
    <w:name w:val="footer"/>
    <w:basedOn w:val="Normal"/>
    <w:link w:val="FooterChar"/>
    <w:uiPriority w:val="99"/>
    <w:unhideWhenUsed/>
    <w:rsid w:val="0066099A"/>
    <w:pPr>
      <w:tabs>
        <w:tab w:val="center" w:pos="4680"/>
        <w:tab w:val="right" w:pos="9360"/>
      </w:tabs>
    </w:pPr>
  </w:style>
  <w:style w:type="character" w:customStyle="1" w:styleId="FooterChar">
    <w:name w:val="Footer Char"/>
    <w:basedOn w:val="DefaultParagraphFont"/>
    <w:link w:val="Footer"/>
    <w:uiPriority w:val="99"/>
    <w:rsid w:val="0066099A"/>
  </w:style>
  <w:style w:type="character" w:styleId="CommentReference">
    <w:name w:val="annotation reference"/>
    <w:basedOn w:val="DefaultParagraphFont"/>
    <w:uiPriority w:val="99"/>
    <w:semiHidden/>
    <w:unhideWhenUsed/>
    <w:rsid w:val="00AD7A9F"/>
    <w:rPr>
      <w:sz w:val="16"/>
      <w:szCs w:val="16"/>
    </w:rPr>
  </w:style>
  <w:style w:type="paragraph" w:styleId="CommentText">
    <w:name w:val="annotation text"/>
    <w:basedOn w:val="Normal"/>
    <w:link w:val="CommentTextChar"/>
    <w:uiPriority w:val="99"/>
    <w:semiHidden/>
    <w:unhideWhenUsed/>
    <w:rsid w:val="00AD7A9F"/>
    <w:rPr>
      <w:sz w:val="20"/>
      <w:szCs w:val="20"/>
    </w:rPr>
  </w:style>
  <w:style w:type="character" w:customStyle="1" w:styleId="CommentTextChar">
    <w:name w:val="Comment Text Char"/>
    <w:basedOn w:val="DefaultParagraphFont"/>
    <w:link w:val="CommentText"/>
    <w:uiPriority w:val="99"/>
    <w:semiHidden/>
    <w:rsid w:val="00AD7A9F"/>
    <w:rPr>
      <w:sz w:val="20"/>
      <w:szCs w:val="20"/>
    </w:rPr>
  </w:style>
  <w:style w:type="paragraph" w:styleId="CommentSubject">
    <w:name w:val="annotation subject"/>
    <w:basedOn w:val="CommentText"/>
    <w:next w:val="CommentText"/>
    <w:link w:val="CommentSubjectChar"/>
    <w:uiPriority w:val="99"/>
    <w:semiHidden/>
    <w:unhideWhenUsed/>
    <w:rsid w:val="00AD7A9F"/>
    <w:rPr>
      <w:b/>
      <w:bCs/>
    </w:rPr>
  </w:style>
  <w:style w:type="character" w:customStyle="1" w:styleId="CommentSubjectChar">
    <w:name w:val="Comment Subject Char"/>
    <w:basedOn w:val="CommentTextChar"/>
    <w:link w:val="CommentSubject"/>
    <w:uiPriority w:val="99"/>
    <w:semiHidden/>
    <w:rsid w:val="00AD7A9F"/>
    <w:rPr>
      <w:b/>
      <w:bCs/>
      <w:sz w:val="20"/>
      <w:szCs w:val="20"/>
    </w:rPr>
  </w:style>
  <w:style w:type="paragraph" w:styleId="BalloonText">
    <w:name w:val="Balloon Text"/>
    <w:basedOn w:val="Normal"/>
    <w:link w:val="BalloonTextChar"/>
    <w:uiPriority w:val="99"/>
    <w:semiHidden/>
    <w:unhideWhenUsed/>
    <w:rsid w:val="00AD7A9F"/>
    <w:rPr>
      <w:rFonts w:ascii="Tahoma" w:hAnsi="Tahoma" w:cs="Tahoma"/>
      <w:sz w:val="16"/>
      <w:szCs w:val="16"/>
    </w:rPr>
  </w:style>
  <w:style w:type="character" w:customStyle="1" w:styleId="BalloonTextChar">
    <w:name w:val="Balloon Text Char"/>
    <w:basedOn w:val="DefaultParagraphFont"/>
    <w:link w:val="BalloonText"/>
    <w:uiPriority w:val="99"/>
    <w:semiHidden/>
    <w:rsid w:val="00AD7A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etitieonline.com/considerm_c_este_necesar_o_imbuntire_a_legislaiei_specific_contractrii_serviciilor_sociale_a_unei_me"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socialngonetwork.ro" TargetMode="External"/><Relationship Id="rId2" Type="http://schemas.openxmlformats.org/officeDocument/2006/relationships/hyperlink" Target="http://www.socialngonetwork.eu" TargetMode="External"/><Relationship Id="rId1" Type="http://schemas.openxmlformats.org/officeDocument/2006/relationships/hyperlink" Target="http://www.socialngonetwork.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1046</Words>
  <Characters>6071</Characters>
  <Application>Microsoft Office Word</Application>
  <DocSecurity>0</DocSecurity>
  <Lines>50</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dc:creator>
  <cp:lastModifiedBy>Windows User</cp:lastModifiedBy>
  <cp:revision>17</cp:revision>
  <cp:lastPrinted>2017-12-21T09:37:00Z</cp:lastPrinted>
  <dcterms:created xsi:type="dcterms:W3CDTF">2017-12-20T17:50:00Z</dcterms:created>
  <dcterms:modified xsi:type="dcterms:W3CDTF">2017-12-21T12:30:00Z</dcterms:modified>
</cp:coreProperties>
</file>